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FA" w:rsidRPr="00BF0CDD" w:rsidRDefault="00217BFA" w:rsidP="0049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(предварительная) 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курсам</w:t>
      </w:r>
    </w:p>
    <w:p w:rsidR="00DB10D5" w:rsidRPr="00BF0CDD" w:rsidRDefault="00217BFA" w:rsidP="0049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3975A7"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овышени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3975A7"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квалификации специалистов нефтегазовой отрасли по </w:t>
      </w:r>
    </w:p>
    <w:p w:rsidR="00495466" w:rsidRPr="00BF0CDD" w:rsidRDefault="003975A7" w:rsidP="0049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направлению </w:t>
      </w:r>
    </w:p>
    <w:p w:rsidR="000533B8" w:rsidRPr="00BF0CDD" w:rsidRDefault="000533B8" w:rsidP="0049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5EDC" w:rsidRPr="00BF0CDD" w:rsidRDefault="00EA5169" w:rsidP="0049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BF0CDD">
        <w:rPr>
          <w:rFonts w:ascii="Times New Roman" w:eastAsia="Times New Roman" w:hAnsi="Times New Roman"/>
          <w:b/>
          <w:sz w:val="26"/>
          <w:szCs w:val="26"/>
          <w:lang w:eastAsia="ru-RU"/>
        </w:rPr>
        <w:t>СОВРЕМЕННЫЕ ПОДХОДЫ К БУРЕНИЮ, РАЗРАБОТКЕ, ЭКСПЛУАТАЦИИ И ПОДЗЕМНОМУ РЕМОНТУ СКВАЖИН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55D65" w:rsidRPr="00BF0CDD" w:rsidRDefault="00255D65" w:rsidP="0049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A040A" w:rsidRPr="00BF0CDD" w:rsidRDefault="005A0AF4" w:rsidP="009A0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День 1. 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02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7244"/>
        <w:gridCol w:w="1977"/>
      </w:tblGrid>
      <w:tr w:rsidR="005A0AF4" w:rsidRPr="00BF0CDD" w:rsidTr="00994E02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49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244" w:type="dxa"/>
            <w:vAlign w:val="center"/>
          </w:tcPr>
          <w:p w:rsidR="005A0AF4" w:rsidRPr="00BF0CDD" w:rsidRDefault="005A0AF4" w:rsidP="0049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Наименование доклада</w:t>
            </w:r>
          </w:p>
        </w:tc>
        <w:tc>
          <w:tcPr>
            <w:tcW w:w="1977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474B6B" w:rsidRPr="00BF0CDD" w:rsidTr="00994E02">
        <w:trPr>
          <w:jc w:val="center"/>
        </w:trPr>
        <w:tc>
          <w:tcPr>
            <w:tcW w:w="974" w:type="dxa"/>
            <w:vAlign w:val="center"/>
          </w:tcPr>
          <w:p w:rsidR="00474B6B" w:rsidRPr="00BF0CDD" w:rsidRDefault="00474B6B" w:rsidP="0049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7244" w:type="dxa"/>
            <w:vAlign w:val="center"/>
          </w:tcPr>
          <w:p w:rsidR="00474B6B" w:rsidRPr="00BF0CDD" w:rsidRDefault="00474B6B" w:rsidP="0049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ул.Тимирязева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, д.20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493C" w:rsidRPr="00BF0CDD" w:rsidRDefault="0036493C" w:rsidP="00780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474B6B" w:rsidRPr="00BF0CDD" w:rsidRDefault="00474B6B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УКЦ «Карьера»</w:t>
            </w:r>
          </w:p>
        </w:tc>
      </w:tr>
      <w:tr w:rsidR="005A0AF4" w:rsidRPr="00BF0CDD" w:rsidTr="00994E02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49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7244" w:type="dxa"/>
            <w:vAlign w:val="center"/>
          </w:tcPr>
          <w:p w:rsidR="005A0AF4" w:rsidRPr="00BF0CDD" w:rsidRDefault="005A0AF4" w:rsidP="0049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Вступление, приветствие, правила безопасности</w:t>
            </w:r>
            <w:bookmarkStart w:id="0" w:name="_GoBack"/>
            <w:bookmarkEnd w:id="0"/>
          </w:p>
        </w:tc>
        <w:tc>
          <w:tcPr>
            <w:tcW w:w="1977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5A0AF4" w:rsidRPr="00BF0CDD" w:rsidTr="00994E02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9.15-9.30</w:t>
            </w:r>
          </w:p>
        </w:tc>
        <w:tc>
          <w:tcPr>
            <w:tcW w:w="7244" w:type="dxa"/>
            <w:vAlign w:val="center"/>
          </w:tcPr>
          <w:p w:rsidR="005A0AF4" w:rsidRPr="00BF0CDD" w:rsidRDefault="005A0AF4" w:rsidP="00EC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Разобщение пластов и изоляция межпластовых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перетоков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9.30-9.35</w:t>
            </w:r>
          </w:p>
        </w:tc>
        <w:tc>
          <w:tcPr>
            <w:tcW w:w="7244" w:type="dxa"/>
            <w:vAlign w:val="center"/>
          </w:tcPr>
          <w:p w:rsidR="00994E02" w:rsidRPr="00BF0CDD" w:rsidRDefault="00994E02" w:rsidP="00EC4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D1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Водонабухающие</w:t>
            </w:r>
            <w:proofErr w:type="spellEnd"/>
            <w:r w:rsidRPr="008D1D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сальники СУСГ</w:t>
            </w:r>
          </w:p>
        </w:tc>
        <w:tc>
          <w:tcPr>
            <w:tcW w:w="1977" w:type="dxa"/>
            <w:vAlign w:val="center"/>
          </w:tcPr>
          <w:p w:rsidR="00994E02" w:rsidRPr="00BF0CDD" w:rsidRDefault="00994E02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5A0AF4" w:rsidRPr="00BF0CDD" w:rsidTr="00994E02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44" w:type="dxa"/>
            <w:vAlign w:val="center"/>
          </w:tcPr>
          <w:p w:rsidR="005A0AF4" w:rsidRPr="00BF0CDD" w:rsidRDefault="005A0AF4" w:rsidP="005A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Новое в области забойных двигателей и долот</w:t>
            </w:r>
          </w:p>
        </w:tc>
        <w:tc>
          <w:tcPr>
            <w:tcW w:w="1977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Саляхов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</w:tr>
      <w:tr w:rsidR="005A0AF4" w:rsidRPr="00BF0CDD" w:rsidTr="00994E02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44" w:type="dxa"/>
            <w:vAlign w:val="center"/>
          </w:tcPr>
          <w:p w:rsidR="005A0AF4" w:rsidRPr="00BF0CDD" w:rsidRDefault="00474B6B" w:rsidP="00474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A0AF4" w:rsidRPr="00BF0CDD">
              <w:rPr>
                <w:rFonts w:ascii="Times New Roman" w:hAnsi="Times New Roman" w:cs="Times New Roman"/>
                <w:sz w:val="28"/>
                <w:szCs w:val="28"/>
              </w:rPr>
              <w:t>уровы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A0AF4"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A0AF4"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различной основе</w:t>
            </w:r>
          </w:p>
        </w:tc>
        <w:tc>
          <w:tcPr>
            <w:tcW w:w="1977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Андрюшкевич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D5522" w:rsidRPr="00BF0CDD" w:rsidTr="00994E02">
        <w:trPr>
          <w:jc w:val="center"/>
        </w:trPr>
        <w:tc>
          <w:tcPr>
            <w:tcW w:w="974" w:type="dxa"/>
            <w:vAlign w:val="center"/>
          </w:tcPr>
          <w:p w:rsidR="001D5522" w:rsidRPr="00BF0CDD" w:rsidRDefault="001D552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44" w:type="dxa"/>
          </w:tcPr>
          <w:p w:rsidR="001D5522" w:rsidRPr="00BF0CDD" w:rsidRDefault="001D5522" w:rsidP="001D5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Опыт ООО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Нафта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-Сервис» в области бурения горизонтальных скважин с применением каротажа в процессе бурения (LWD)</w:t>
            </w:r>
          </w:p>
        </w:tc>
        <w:tc>
          <w:tcPr>
            <w:tcW w:w="1977" w:type="dxa"/>
          </w:tcPr>
          <w:p w:rsidR="001D5522" w:rsidRPr="00BF0CDD" w:rsidRDefault="001D5522" w:rsidP="001D5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Халлимов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31CF8" w:rsidRPr="00BF0CDD" w:rsidTr="007230F9">
        <w:trPr>
          <w:jc w:val="center"/>
        </w:trPr>
        <w:tc>
          <w:tcPr>
            <w:tcW w:w="974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10.20-10.25</w:t>
            </w:r>
          </w:p>
        </w:tc>
        <w:tc>
          <w:tcPr>
            <w:tcW w:w="7244" w:type="dxa"/>
          </w:tcPr>
          <w:p w:rsidR="00931CF8" w:rsidRPr="00BF0CDD" w:rsidRDefault="00931CF8" w:rsidP="0093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F8">
              <w:rPr>
                <w:rFonts w:ascii="Times New Roman" w:hAnsi="Times New Roman" w:cs="Times New Roman"/>
                <w:sz w:val="28"/>
                <w:szCs w:val="28"/>
              </w:rPr>
              <w:t>Бурение на обсадных трубах с применением разбуриваемых долот</w:t>
            </w:r>
          </w:p>
        </w:tc>
        <w:tc>
          <w:tcPr>
            <w:tcW w:w="1977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31CF8" w:rsidRPr="00BF0CDD" w:rsidTr="00994E02">
        <w:trPr>
          <w:jc w:val="center"/>
        </w:trPr>
        <w:tc>
          <w:tcPr>
            <w:tcW w:w="974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-10.3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44" w:type="dxa"/>
            <w:vAlign w:val="center"/>
          </w:tcPr>
          <w:p w:rsidR="00931CF8" w:rsidRPr="00BF0CDD" w:rsidRDefault="00931CF8" w:rsidP="009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Разработка эжектора для набора пластовой воды в приемные амбары из скважины</w:t>
            </w:r>
          </w:p>
        </w:tc>
        <w:tc>
          <w:tcPr>
            <w:tcW w:w="1977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31CF8" w:rsidRPr="00BF0CDD" w:rsidTr="00994E02">
        <w:trPr>
          <w:jc w:val="center"/>
        </w:trPr>
        <w:tc>
          <w:tcPr>
            <w:tcW w:w="974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7244" w:type="dxa"/>
            <w:vAlign w:val="center"/>
          </w:tcPr>
          <w:p w:rsidR="00931CF8" w:rsidRPr="00BF0CDD" w:rsidRDefault="00931CF8" w:rsidP="0093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Бурение пересекающихся и сообщающихся вертикальных и горизонтальных скважин. Опыт бурения наклонно-направленных скважин</w:t>
            </w:r>
          </w:p>
        </w:tc>
        <w:tc>
          <w:tcPr>
            <w:tcW w:w="1977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31CF8" w:rsidRPr="00BF0CDD" w:rsidTr="00994E02">
        <w:trPr>
          <w:jc w:val="center"/>
        </w:trPr>
        <w:tc>
          <w:tcPr>
            <w:tcW w:w="974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  <w:tc>
          <w:tcPr>
            <w:tcW w:w="7244" w:type="dxa"/>
            <w:vAlign w:val="center"/>
          </w:tcPr>
          <w:p w:rsidR="00931CF8" w:rsidRPr="00BF0CDD" w:rsidRDefault="00931CF8" w:rsidP="0093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Испытания оболочки установки ликвидации поглощений («чулок»)</w:t>
            </w:r>
          </w:p>
        </w:tc>
        <w:tc>
          <w:tcPr>
            <w:tcW w:w="1977" w:type="dxa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31CF8" w:rsidRPr="00BF0CDD" w:rsidTr="00FA21D1">
        <w:trPr>
          <w:jc w:val="center"/>
        </w:trPr>
        <w:tc>
          <w:tcPr>
            <w:tcW w:w="10195" w:type="dxa"/>
            <w:gridSpan w:val="3"/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11.00-11.20 кофе-брейк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2-й этаж</w:t>
            </w:r>
          </w:p>
        </w:tc>
      </w:tr>
      <w:tr w:rsidR="00931CF8" w:rsidRPr="00BF0CDD" w:rsidTr="00994E02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11.20-11.50</w:t>
            </w:r>
          </w:p>
        </w:tc>
        <w:tc>
          <w:tcPr>
            <w:tcW w:w="7244" w:type="dxa"/>
            <w:tcBorders>
              <w:bottom w:val="single" w:sz="4" w:space="0" w:color="auto"/>
            </w:tcBorders>
            <w:vAlign w:val="center"/>
          </w:tcPr>
          <w:p w:rsidR="00931CF8" w:rsidRPr="00BF0CDD" w:rsidRDefault="00931CF8" w:rsidP="0093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технологии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пропантных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ГРП на скважинах добывающих компаний ООО УК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Шешмаойл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», влияние на КИН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931CF8" w:rsidRPr="00BF0CDD" w:rsidRDefault="00931CF8" w:rsidP="009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Исламов А.И.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11.50-12.10</w:t>
            </w:r>
          </w:p>
        </w:tc>
        <w:tc>
          <w:tcPr>
            <w:tcW w:w="7244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системы жидкости ГРП </w:t>
            </w:r>
          </w:p>
        </w:tc>
        <w:tc>
          <w:tcPr>
            <w:tcW w:w="1977" w:type="dxa"/>
            <w:vAlign w:val="center"/>
          </w:tcPr>
          <w:p w:rsidR="00B11234" w:rsidRPr="00E6279B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Самаридинов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  <w:tc>
          <w:tcPr>
            <w:tcW w:w="724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pStyle w:val="Default"/>
              <w:tabs>
                <w:tab w:val="left" w:pos="426"/>
              </w:tabs>
              <w:rPr>
                <w:sz w:val="28"/>
                <w:szCs w:val="28"/>
              </w:rPr>
            </w:pPr>
            <w:r w:rsidRPr="00BF0CDD">
              <w:rPr>
                <w:sz w:val="28"/>
                <w:szCs w:val="28"/>
              </w:rPr>
              <w:t xml:space="preserve">Разработка технологий по ограничению </w:t>
            </w:r>
            <w:proofErr w:type="spellStart"/>
            <w:r w:rsidRPr="00BF0CDD">
              <w:rPr>
                <w:sz w:val="28"/>
                <w:szCs w:val="28"/>
              </w:rPr>
              <w:t>водопритока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724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pStyle w:val="Default"/>
              <w:tabs>
                <w:tab w:val="left" w:pos="426"/>
              </w:tabs>
              <w:rPr>
                <w:sz w:val="28"/>
                <w:szCs w:val="28"/>
              </w:rPr>
            </w:pPr>
            <w:r w:rsidRPr="003834C4">
              <w:rPr>
                <w:sz w:val="28"/>
                <w:szCs w:val="28"/>
              </w:rPr>
              <w:t xml:space="preserve">Технологии снижения вязкости нефти и нефтепродуктов. </w:t>
            </w:r>
            <w:r w:rsidRPr="00BF0CDD">
              <w:rPr>
                <w:sz w:val="28"/>
                <w:szCs w:val="28"/>
              </w:rPr>
              <w:t>Закачка рабочего агента через термостойкое оборудование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FA21D1">
        <w:trPr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13.00-14.00 Обед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1 этаж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14.00-15.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Нормативное правовое обеспечение вопросов энергосбережения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</w:tc>
      </w:tr>
      <w:tr w:rsidR="00B11234" w:rsidRPr="00BF0CDD" w:rsidTr="00D43776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4" w:type="dxa"/>
            <w:tcBorders>
              <w:bottom w:val="single" w:sz="4" w:space="0" w:color="auto"/>
            </w:tcBorders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Ловильные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при капитальном ремонте скважин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Ходеев С.Г.</w:t>
            </w:r>
          </w:p>
        </w:tc>
      </w:tr>
      <w:tr w:rsidR="00B11234" w:rsidRPr="00BF0CDD" w:rsidTr="00F662AA">
        <w:trPr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15.30-15.50 кофе-брейк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2 этаж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44" w:type="dxa"/>
            <w:tcBorders>
              <w:bottom w:val="single" w:sz="4" w:space="0" w:color="auto"/>
            </w:tcBorders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информационных систем на объектах нефтедобычи ООО УК "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Шешмаойл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". Опыт применения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11234" w:rsidRPr="00617091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44" w:type="dxa"/>
            <w:tcBorders>
              <w:bottom w:val="single" w:sz="4" w:space="0" w:color="auto"/>
            </w:tcBorders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откачки газа на приток пластовой жидкости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7244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откачки газа из скважин. Анализ влияния избыточного давления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затрубного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газа на работу насосного оборудования и пласт. Технология откачки газа из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затрубного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пространства. Устройство и принцип работы установок для откачки газа из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затрубного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скважины. Анализ работы комплексов по откачке газа. Влияние откачки газа на свойства нефти. Стратегия развития установок для откачки газа из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затрубного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скважины. Изменение нагрузок на штанговую колонну при кратковременной откачке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затрубного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газа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17.25-17.55</w:t>
            </w:r>
          </w:p>
        </w:tc>
        <w:tc>
          <w:tcPr>
            <w:tcW w:w="7244" w:type="dxa"/>
            <w:vAlign w:val="center"/>
          </w:tcPr>
          <w:p w:rsidR="00B11234" w:rsidRPr="00BF0CDD" w:rsidRDefault="00B11234" w:rsidP="00B112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0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Заключительное слово. Обсуждение первого дня.</w:t>
            </w:r>
          </w:p>
        </w:tc>
        <w:tc>
          <w:tcPr>
            <w:tcW w:w="1977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EC4DAA">
        <w:trPr>
          <w:jc w:val="center"/>
        </w:trPr>
        <w:tc>
          <w:tcPr>
            <w:tcW w:w="8218" w:type="dxa"/>
            <w:gridSpan w:val="2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18.00-21.30 ужин-фуршет</w:t>
            </w:r>
          </w:p>
        </w:tc>
        <w:tc>
          <w:tcPr>
            <w:tcW w:w="1977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</w:tbl>
    <w:p w:rsidR="009A040A" w:rsidRPr="00BF0CDD" w:rsidRDefault="009A040A" w:rsidP="005A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AF4" w:rsidRPr="00BF0CDD" w:rsidRDefault="005A0AF4" w:rsidP="005A0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День 2. 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7371"/>
        <w:gridCol w:w="1850"/>
      </w:tblGrid>
      <w:tr w:rsidR="005A0AF4" w:rsidRPr="00BF0CDD" w:rsidTr="00994E02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FA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vAlign w:val="center"/>
          </w:tcPr>
          <w:p w:rsidR="005A0AF4" w:rsidRPr="00BF0CDD" w:rsidRDefault="005A0AF4" w:rsidP="00FA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Наименование доклада</w:t>
            </w:r>
          </w:p>
        </w:tc>
        <w:tc>
          <w:tcPr>
            <w:tcW w:w="1850" w:type="dxa"/>
            <w:vAlign w:val="center"/>
          </w:tcPr>
          <w:p w:rsidR="005A0AF4" w:rsidRPr="00BF0CDD" w:rsidRDefault="005A0AF4" w:rsidP="00FA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5A0AF4" w:rsidRPr="00BF0CDD" w:rsidTr="00994E02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9.00-9.05</w:t>
            </w:r>
          </w:p>
        </w:tc>
        <w:tc>
          <w:tcPr>
            <w:tcW w:w="7371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1850" w:type="dxa"/>
            <w:vAlign w:val="center"/>
          </w:tcPr>
          <w:p w:rsidR="005A0AF4" w:rsidRPr="00BF0CDD" w:rsidRDefault="005A0AF4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022686" w:rsidRPr="00E92260" w:rsidTr="00994E02">
        <w:trPr>
          <w:jc w:val="center"/>
        </w:trPr>
        <w:tc>
          <w:tcPr>
            <w:tcW w:w="974" w:type="dxa"/>
            <w:vAlign w:val="center"/>
          </w:tcPr>
          <w:p w:rsidR="00022686" w:rsidRPr="00BF0CDD" w:rsidRDefault="00022686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9.05-9.20</w:t>
            </w:r>
          </w:p>
        </w:tc>
        <w:tc>
          <w:tcPr>
            <w:tcW w:w="7371" w:type="dxa"/>
            <w:vAlign w:val="center"/>
          </w:tcPr>
          <w:p w:rsidR="00022686" w:rsidRPr="00BF0CDD" w:rsidRDefault="00022686" w:rsidP="00022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686">
              <w:rPr>
                <w:rFonts w:ascii="Times New Roman" w:hAnsi="Times New Roman" w:cs="Times New Roman"/>
                <w:sz w:val="28"/>
                <w:szCs w:val="28"/>
              </w:rPr>
              <w:t>Технология активной термометрии для решения задач диагностики скважин при контроле разработки месторождений нефти и газа</w:t>
            </w:r>
          </w:p>
        </w:tc>
        <w:tc>
          <w:tcPr>
            <w:tcW w:w="1850" w:type="dxa"/>
            <w:vAlign w:val="center"/>
          </w:tcPr>
          <w:p w:rsidR="00022686" w:rsidRPr="00BF0CDD" w:rsidRDefault="00E92260" w:rsidP="005A0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0">
              <w:rPr>
                <w:rFonts w:ascii="Times New Roman" w:hAnsi="Times New Roman" w:cs="Times New Roman"/>
                <w:sz w:val="28"/>
                <w:szCs w:val="28"/>
              </w:rPr>
              <w:t>Баженов В.В.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9.05-9.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Проблематика </w:t>
            </w:r>
            <w:proofErr w:type="spellStart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трудноизвлекаемых</w:t>
            </w:r>
            <w:proofErr w:type="spellEnd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 и истощенных запасов нефти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гидродинамических исследований фильтрационно-емкостных свойств пластов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5-9.5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pStyle w:val="Default"/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994E02">
              <w:rPr>
                <w:color w:val="auto"/>
                <w:sz w:val="28"/>
                <w:szCs w:val="28"/>
              </w:rPr>
              <w:t>Современные реалии использования/утилизации углекислого газа. Исследование смесимости углекислого газа в нефти. Опытно-промышленные испытания: обработка скважины углекислым газом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техногенной </w:t>
            </w:r>
            <w:proofErr w:type="spellStart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трещиноватости</w:t>
            </w:r>
            <w:proofErr w:type="spellEnd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 карбонатных коллекторов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10.30-1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эффективности системы поддержания пластового давления в карбонатных коллекторах. Определение скорости фильтрации нагнетаемой жидкости. </w:t>
            </w:r>
            <w:proofErr w:type="spellStart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Трассерные</w:t>
            </w:r>
            <w:proofErr w:type="spellEnd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 работы по ВПП в карбонатных коллекторах Поволжского региона.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B950A8">
        <w:trPr>
          <w:jc w:val="center"/>
        </w:trPr>
        <w:tc>
          <w:tcPr>
            <w:tcW w:w="10195" w:type="dxa"/>
            <w:gridSpan w:val="3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11.00-11.20 кофе-брейк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2-й этаж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11.20-11.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pStyle w:val="Default"/>
              <w:tabs>
                <w:tab w:val="left" w:pos="426"/>
              </w:tabs>
              <w:rPr>
                <w:color w:val="auto"/>
                <w:sz w:val="28"/>
                <w:szCs w:val="28"/>
              </w:rPr>
            </w:pPr>
            <w:r w:rsidRPr="00994E02">
              <w:rPr>
                <w:color w:val="auto"/>
                <w:sz w:val="28"/>
                <w:szCs w:val="28"/>
              </w:rPr>
              <w:t xml:space="preserve">Оценка анизотропии пород и естественной </w:t>
            </w:r>
            <w:proofErr w:type="spellStart"/>
            <w:r w:rsidRPr="00994E02">
              <w:rPr>
                <w:color w:val="auto"/>
                <w:sz w:val="28"/>
                <w:szCs w:val="28"/>
              </w:rPr>
              <w:t>трещиноватости</w:t>
            </w:r>
            <w:proofErr w:type="spellEnd"/>
            <w:r w:rsidRPr="00994E02">
              <w:rPr>
                <w:color w:val="auto"/>
                <w:sz w:val="28"/>
                <w:szCs w:val="28"/>
              </w:rPr>
              <w:t xml:space="preserve">. Определение эффективности системы </w:t>
            </w:r>
            <w:r w:rsidRPr="00994E02">
              <w:rPr>
                <w:color w:val="auto"/>
                <w:sz w:val="28"/>
                <w:szCs w:val="28"/>
              </w:rPr>
              <w:lastRenderedPageBreak/>
              <w:t>поддержания пластового давления методом наземного микросейсмического мониторинга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мероприятий по повышению </w:t>
            </w:r>
            <w:proofErr w:type="spellStart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нефтеотдачи</w:t>
            </w:r>
            <w:proofErr w:type="spellEnd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 пластов на различных стадиях разработки месторождений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выработки </w:t>
            </w:r>
            <w:proofErr w:type="spellStart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трудноизвлекаемых</w:t>
            </w:r>
            <w:proofErr w:type="spellEnd"/>
            <w:r w:rsidRPr="00994E02">
              <w:rPr>
                <w:rFonts w:ascii="Times New Roman" w:hAnsi="Times New Roman" w:cs="Times New Roman"/>
                <w:sz w:val="28"/>
                <w:szCs w:val="28"/>
              </w:rPr>
              <w:t xml:space="preserve"> запасов нефти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994E02" w:rsidRPr="00994E02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Интеллектуализация скважин как путь эффективной разработки нефтяных месторождений.  Интеллектуализация гравитационного участка Дачного нефтяного месторождения республики Татарстан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Юнусов И.М.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12.40-12.50</w:t>
            </w:r>
          </w:p>
        </w:tc>
        <w:tc>
          <w:tcPr>
            <w:tcW w:w="7371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гидроупорного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временно́го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режима работы нефтяного пласта. Разработка реагента для снижения вязкости нефти и обезвоживания нефтяной эмульсии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994E02">
        <w:trPr>
          <w:jc w:val="center"/>
        </w:trPr>
        <w:tc>
          <w:tcPr>
            <w:tcW w:w="974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12.50-13.00</w:t>
            </w:r>
          </w:p>
        </w:tc>
        <w:tc>
          <w:tcPr>
            <w:tcW w:w="7371" w:type="dxa"/>
            <w:vAlign w:val="center"/>
          </w:tcPr>
          <w:p w:rsidR="00994E02" w:rsidRPr="00BF0CDD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Импульсная высокочастотная </w:t>
            </w:r>
            <w:proofErr w:type="spellStart"/>
            <w:r w:rsidRPr="00BF0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термоакустическая</w:t>
            </w:r>
            <w:proofErr w:type="spellEnd"/>
            <w:r w:rsidRPr="00BF0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технология (ИВЧТА)</w:t>
            </w:r>
          </w:p>
        </w:tc>
        <w:tc>
          <w:tcPr>
            <w:tcW w:w="1850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DA52BF">
        <w:trPr>
          <w:jc w:val="center"/>
        </w:trPr>
        <w:tc>
          <w:tcPr>
            <w:tcW w:w="10195" w:type="dxa"/>
            <w:gridSpan w:val="3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13.00-14.00 обед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1 этаж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994E02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14.00-1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B11234" w:rsidRPr="009565DC" w:rsidRDefault="00B11234" w:rsidP="00B112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>Многоканальная 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>для ОРЭ и 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 xml:space="preserve"> Многоканальная НКТ с муфтовым резьбовым соединением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 xml:space="preserve">ехнологическая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>руба (УТТ)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3F3E">
              <w:rPr>
                <w:rFonts w:ascii="Times New Roman" w:hAnsi="Times New Roman" w:cs="Times New Roman"/>
                <w:sz w:val="28"/>
                <w:szCs w:val="28"/>
              </w:rPr>
              <w:t xml:space="preserve"> Муфтовое резьбовое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F3E">
              <w:rPr>
                <w:rFonts w:ascii="Times New Roman" w:hAnsi="Times New Roman" w:cs="Times New Roman"/>
                <w:sz w:val="28"/>
                <w:szCs w:val="28"/>
              </w:rPr>
              <w:t>соединение для бурения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F3E">
              <w:rPr>
                <w:rFonts w:ascii="Times New Roman" w:hAnsi="Times New Roman" w:cs="Times New Roman"/>
                <w:sz w:val="28"/>
                <w:szCs w:val="28"/>
              </w:rPr>
              <w:t>на обсадной колонне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>линномерн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 xml:space="preserve"> гибк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 xml:space="preserve"> штанг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50" w:type="dxa"/>
            <w:vAlign w:val="center"/>
          </w:tcPr>
          <w:p w:rsidR="00B11234" w:rsidRPr="00994E02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5DC">
              <w:rPr>
                <w:rFonts w:ascii="Times New Roman" w:hAnsi="Times New Roman" w:cs="Times New Roman"/>
                <w:sz w:val="28"/>
                <w:szCs w:val="28"/>
              </w:rPr>
              <w:t>Габдуллин Р.М.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Длинноходовая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глубинно-насосная установка (ДГНУ-1, ДГНУ-2). ДГНУ-3 с откачкой жидкости по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затрубному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пространству. ДГНУ с имплозией. ДГНУ с ОРЭ. Добыча жидкости подъёмником каротажным ПКН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Штанговые глубинные насосы с различными клапанами: тарельчатый всасывающий «КТВ», «КТВ-2К», каплевидный «КВК», увеличенного проходного сечения твердосплавный «КУПС-Т», подпружиненный «ПВК». 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FA21D1">
        <w:trPr>
          <w:jc w:val="center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15.40-16.00 кофе-брейк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2 этаж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Насос дифференциальный для наклонных и горизонтальных скважин «НД-НГС». Плунжер-шток с управляемым нагнетательным твердосплавным шаровым клапаном «ПУШК»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Насос дифференциальный с отводом газа из цилиндра в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затрубное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«НД-ОГ».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Одновременно-раздельная эксплуатация: «УОРЭ-1Л», «УОРЭ-1ЛК» для двух пластов с общим подъемом жидкости. Установка раздельной эксплуатации двух пластов с автоматическим переключением по пластам «УРЭ-А». Установка «УОРЭ-РПП». Установка «УОРЭ-2Л» для одновременно-раздельной эксплуатации двух пластов с раздельным подъемом продукции. Разработка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многопакерной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беструбной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 скважин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техники и технологии для водогазового воздействия 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center"/>
          </w:tcPr>
          <w:p w:rsidR="00B11234" w:rsidRPr="00BF0CDD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Эксплуатация скважин с наклонно-направленным профилем. Канатные штанги</w:t>
            </w:r>
          </w:p>
        </w:tc>
        <w:tc>
          <w:tcPr>
            <w:tcW w:w="1850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B11234" w:rsidRPr="00BF0CDD" w:rsidTr="00994E02">
        <w:trPr>
          <w:jc w:val="center"/>
        </w:trPr>
        <w:tc>
          <w:tcPr>
            <w:tcW w:w="974" w:type="dxa"/>
            <w:vAlign w:val="center"/>
          </w:tcPr>
          <w:p w:rsidR="00B11234" w:rsidRPr="00BF0CDD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center"/>
          </w:tcPr>
          <w:p w:rsidR="00B11234" w:rsidRPr="00994E02" w:rsidRDefault="00B11234" w:rsidP="00B11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E02">
              <w:rPr>
                <w:rFonts w:ascii="Times New Roman" w:hAnsi="Times New Roman" w:cs="Times New Roman"/>
                <w:sz w:val="28"/>
                <w:szCs w:val="28"/>
              </w:rPr>
              <w:t>Технологии волнового воздействия на нефтяные пласты</w:t>
            </w:r>
          </w:p>
        </w:tc>
        <w:tc>
          <w:tcPr>
            <w:tcW w:w="1850" w:type="dxa"/>
            <w:vAlign w:val="center"/>
          </w:tcPr>
          <w:p w:rsidR="00B11234" w:rsidRPr="00994E02" w:rsidRDefault="00B11234" w:rsidP="00B11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</w:tbl>
    <w:p w:rsidR="005A0AF4" w:rsidRPr="00BF0CDD" w:rsidRDefault="005A0AF4" w:rsidP="005A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29B" w:rsidRPr="00BF0CDD" w:rsidRDefault="001A329B" w:rsidP="001A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День 3. 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04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229"/>
        <w:gridCol w:w="1978"/>
      </w:tblGrid>
      <w:tr w:rsidR="001A329B" w:rsidRPr="00BF0CDD" w:rsidTr="0068272C">
        <w:trPr>
          <w:jc w:val="center"/>
        </w:trPr>
        <w:tc>
          <w:tcPr>
            <w:tcW w:w="988" w:type="dxa"/>
            <w:vAlign w:val="center"/>
          </w:tcPr>
          <w:p w:rsidR="001A329B" w:rsidRPr="00BF0CDD" w:rsidRDefault="001A329B" w:rsidP="00F6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229" w:type="dxa"/>
            <w:vAlign w:val="center"/>
          </w:tcPr>
          <w:p w:rsidR="001A329B" w:rsidRPr="00BF0CDD" w:rsidRDefault="001A329B" w:rsidP="00F6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Наименование доклада</w:t>
            </w:r>
          </w:p>
        </w:tc>
        <w:tc>
          <w:tcPr>
            <w:tcW w:w="1978" w:type="dxa"/>
            <w:vAlign w:val="center"/>
          </w:tcPr>
          <w:p w:rsidR="001A329B" w:rsidRPr="00BF0CDD" w:rsidRDefault="001A329B" w:rsidP="00F6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1A329B" w:rsidRPr="00BF0CDD" w:rsidTr="0068272C">
        <w:trPr>
          <w:jc w:val="center"/>
        </w:trPr>
        <w:tc>
          <w:tcPr>
            <w:tcW w:w="988" w:type="dxa"/>
            <w:vAlign w:val="center"/>
          </w:tcPr>
          <w:p w:rsidR="001A329B" w:rsidRPr="00BF0CDD" w:rsidRDefault="001A329B" w:rsidP="00F6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9.00-9.05</w:t>
            </w:r>
          </w:p>
        </w:tc>
        <w:tc>
          <w:tcPr>
            <w:tcW w:w="7229" w:type="dxa"/>
            <w:vAlign w:val="center"/>
          </w:tcPr>
          <w:p w:rsidR="001A329B" w:rsidRPr="00BF0CDD" w:rsidRDefault="001A329B" w:rsidP="00F6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1978" w:type="dxa"/>
            <w:vAlign w:val="center"/>
          </w:tcPr>
          <w:p w:rsidR="001A329B" w:rsidRPr="00BF0CDD" w:rsidRDefault="001A329B" w:rsidP="00F6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rPr>
          <w:jc w:val="center"/>
        </w:trPr>
        <w:tc>
          <w:tcPr>
            <w:tcW w:w="98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9.05-9.15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Технология добычи нефти струйным насосом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rPr>
          <w:jc w:val="center"/>
        </w:trPr>
        <w:tc>
          <w:tcPr>
            <w:tcW w:w="98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9.15-9.25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Анализ фонда скважин с наличием АСПО в скважинной продукции. 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rPr>
          <w:jc w:val="center"/>
        </w:trPr>
        <w:tc>
          <w:tcPr>
            <w:tcW w:w="98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9.25-9.50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Оптимальный выбор методов борьбы с АСПО. Применение диамагнитного материала «ДММ» для предотвращения отложений АСПО в НКТ и трубопроводах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rPr>
          <w:jc w:val="center"/>
        </w:trPr>
        <w:tc>
          <w:tcPr>
            <w:tcW w:w="98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Опыт эксплуатации скважин, осложненных наличием механических примесей в скважинной продукции. Исследование осаждения механических примесей в колонне насосно-компрессорных труб и образования осадков. Очистка скважин.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Гидровакуумная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желонка, рыхлитель. Газопесочный якорь, фильтры.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rPr>
          <w:jc w:val="center"/>
        </w:trPr>
        <w:tc>
          <w:tcPr>
            <w:tcW w:w="98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10.30-10.55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Обзор технических решений в области конструирования винтовых насосных установок для добычи нефти. Влияние наработки и износа винтовой пары на напорную характеристику винтового насоса. Основные виды отказов насосного оборудования (на примере нефтяных компаний Республики Татарстан). Влияние условий эксплуатации на обрывность колонны насосных штанг.</w:t>
            </w:r>
            <w:r w:rsidRPr="00BF0C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Определение с</w:t>
            </w:r>
            <w:r w:rsidRPr="00BF0C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тепени изнашивания эластомера.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влияния способа эксплуатации скважин на отбраковку насосных штанг. Эксплуатация вращающейся колонны насосных штанг с кольцевым сечением. Влияние нагрузки при срыве ротора из статора на обрыв штанг и полированного штока. Построение напорных характеристик ШВН при прямом и обратном расположении ротора в статоре и при замене ротора. Сравнение теоретических и фактических напорных характеристик винтовых насосов при различных частотах вращений ротора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F662AA">
        <w:trPr>
          <w:trHeight w:val="171"/>
          <w:jc w:val="center"/>
        </w:trPr>
        <w:tc>
          <w:tcPr>
            <w:tcW w:w="10195" w:type="dxa"/>
            <w:gridSpan w:val="3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-11.20 кофе-брейк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2 этаж</w:t>
            </w:r>
          </w:p>
        </w:tc>
      </w:tr>
      <w:tr w:rsidR="00994E02" w:rsidRPr="00BF0CDD" w:rsidTr="00FB23C7">
        <w:tblPrEx>
          <w:jc w:val="left"/>
        </w:tblPrEx>
        <w:tc>
          <w:tcPr>
            <w:tcW w:w="98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11.20-11.35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лабораторные и опытно-промышленные испытания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разнопрофильных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лопаток на вращающейся колонне штанг. Конструктивные исполнения штанговых лопаток. Теоретические основы расчета напорной характеристики штанговой лопатки. Стендовые и 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промысловые исследования напорных характеристик штанговых лопаток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 А.А.</w:t>
            </w:r>
          </w:p>
        </w:tc>
      </w:tr>
      <w:tr w:rsidR="00994E02" w:rsidRPr="00BF0CDD" w:rsidTr="0068272C">
        <w:tblPrEx>
          <w:jc w:val="left"/>
        </w:tblPrEx>
        <w:tc>
          <w:tcPr>
            <w:tcW w:w="98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11.35-11.55</w:t>
            </w:r>
          </w:p>
        </w:tc>
        <w:tc>
          <w:tcPr>
            <w:tcW w:w="7229" w:type="dxa"/>
          </w:tcPr>
          <w:p w:rsidR="00994E02" w:rsidRPr="00BF0CDD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аварийности штанг в наклонно-направленных скважинах и разработка центрирующих устройств. Влияние профиля скважины и максимального угла наклона скважины и числа оборотов вала насоса на наработку штанг. Расчет нагрузок на вращающуюся штанговую колонну в искривленных нефтяных скважинах. Разработка методики установки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центраторов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на штанговую колонну</w:t>
            </w:r>
          </w:p>
        </w:tc>
        <w:tc>
          <w:tcPr>
            <w:tcW w:w="197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DF3C94">
        <w:tblPrEx>
          <w:jc w:val="left"/>
        </w:tblPrEx>
        <w:tc>
          <w:tcPr>
            <w:tcW w:w="98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11.55-12.10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Существующее положение в области замера вязкости, газового фактора нефти и дебитов. Блок измерения продукции нефтяных скважин. Метод измерения количества нефти и попутного нефтяного газа. Расчет погрешностей при измерении газового фактора продукции скважин. Стендовые и промысловые исследования замерных устройств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F662AA">
        <w:tblPrEx>
          <w:jc w:val="left"/>
        </w:tblPrEx>
        <w:tc>
          <w:tcPr>
            <w:tcW w:w="98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.10-1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Замер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обводненности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Пробозаборное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F662AA">
        <w:tblPrEx>
          <w:jc w:val="left"/>
        </w:tblPrEx>
        <w:tc>
          <w:tcPr>
            <w:tcW w:w="98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промыслового переносного вискозиметра. Проведение экспериментальных исследований вязкости нефти в промысловых условиях по оценке погрешности измерений прибора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Гепплера</w:t>
            </w:r>
            <w:proofErr w:type="spellEnd"/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243674">
        <w:tblPrEx>
          <w:jc w:val="left"/>
        </w:tblPrEx>
        <w:tc>
          <w:tcPr>
            <w:tcW w:w="98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5-12.40</w:t>
            </w:r>
          </w:p>
        </w:tc>
        <w:tc>
          <w:tcPr>
            <w:tcW w:w="7229" w:type="dxa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Змеевики нефтяные для печей ПП-0,63 и ПП-1,6. Методы защиты от коррозионного влияния на змеевики путевых подогревателей</w:t>
            </w:r>
          </w:p>
        </w:tc>
        <w:tc>
          <w:tcPr>
            <w:tcW w:w="197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blPrEx>
          <w:jc w:val="left"/>
        </w:tblPrEx>
        <w:tc>
          <w:tcPr>
            <w:tcW w:w="98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7229" w:type="dxa"/>
          </w:tcPr>
          <w:p w:rsidR="00994E02" w:rsidRPr="00BF0CDD" w:rsidRDefault="00994E02" w:rsidP="00994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Вручение Удостоверений о повышении квалификации</w:t>
            </w:r>
          </w:p>
        </w:tc>
        <w:tc>
          <w:tcPr>
            <w:tcW w:w="1978" w:type="dxa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Львов В.Н.</w:t>
            </w:r>
          </w:p>
        </w:tc>
      </w:tr>
      <w:tr w:rsidR="00994E02" w:rsidRPr="00BF0CDD" w:rsidTr="00F662AA">
        <w:tblPrEx>
          <w:jc w:val="left"/>
        </w:tblPrEx>
        <w:tc>
          <w:tcPr>
            <w:tcW w:w="10195" w:type="dxa"/>
            <w:gridSpan w:val="3"/>
          </w:tcPr>
          <w:p w:rsidR="00994E02" w:rsidRPr="00BF0CDD" w:rsidRDefault="00994E02" w:rsidP="0044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 обед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 1 этаж</w:t>
            </w:r>
          </w:p>
        </w:tc>
      </w:tr>
      <w:tr w:rsidR="00994E02" w:rsidRPr="00BF0CDD" w:rsidTr="00F662AA">
        <w:tblPrEx>
          <w:jc w:val="left"/>
        </w:tblPrEx>
        <w:tc>
          <w:tcPr>
            <w:tcW w:w="10195" w:type="dxa"/>
            <w:gridSpan w:val="3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«Экскурсия»</w:t>
            </w:r>
          </w:p>
        </w:tc>
      </w:tr>
      <w:tr w:rsidR="00994E02" w:rsidRPr="00BF0CDD" w:rsidTr="0068272C">
        <w:tblPrEx>
          <w:jc w:val="left"/>
        </w:tblPrEx>
        <w:tc>
          <w:tcPr>
            <w:tcW w:w="988" w:type="dxa"/>
            <w:vAlign w:val="center"/>
          </w:tcPr>
          <w:p w:rsidR="00994E02" w:rsidRPr="00BF0CDD" w:rsidRDefault="00994E02" w:rsidP="0044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Сбор на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ул.Тимирязева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, д.20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blPrEx>
          <w:jc w:val="left"/>
        </w:tblPrEx>
        <w:tc>
          <w:tcPr>
            <w:tcW w:w="988" w:type="dxa"/>
            <w:vAlign w:val="center"/>
          </w:tcPr>
          <w:p w:rsidR="00994E02" w:rsidRPr="00BF0CDD" w:rsidRDefault="00994E02" w:rsidP="0044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Экскурсия по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994E02" w:rsidRPr="00BF0CDD" w:rsidTr="0068272C">
        <w:tblPrEx>
          <w:jc w:val="left"/>
        </w:tblPrEx>
        <w:tc>
          <w:tcPr>
            <w:tcW w:w="988" w:type="dxa"/>
            <w:vAlign w:val="center"/>
          </w:tcPr>
          <w:p w:rsidR="00994E02" w:rsidRPr="00BF0CDD" w:rsidRDefault="00994E02" w:rsidP="00441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1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  <w:vAlign w:val="center"/>
          </w:tcPr>
          <w:p w:rsidR="00994E02" w:rsidRPr="00BF0CDD" w:rsidRDefault="00994E02" w:rsidP="0099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Сборы к поездке в 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Бушидо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-Парк»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по городу</w:t>
            </w:r>
          </w:p>
        </w:tc>
        <w:tc>
          <w:tcPr>
            <w:tcW w:w="1978" w:type="dxa"/>
            <w:vAlign w:val="center"/>
          </w:tcPr>
          <w:p w:rsidR="00994E02" w:rsidRPr="00BF0CDD" w:rsidRDefault="00994E02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</w:tbl>
    <w:p w:rsidR="001A329B" w:rsidRPr="00BF0CDD" w:rsidRDefault="001A329B" w:rsidP="005A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AF4" w:rsidRPr="00BF0CDD" w:rsidRDefault="005A0AF4" w:rsidP="005A0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День </w:t>
      </w:r>
      <w:r w:rsidR="001A329B"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</w:t>
      </w:r>
      <w:r w:rsidR="00A91E7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BF0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.2024г. «Экскурсия»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7160"/>
        <w:gridCol w:w="2061"/>
      </w:tblGrid>
      <w:tr w:rsidR="005A0AF4" w:rsidRPr="00BF0CDD" w:rsidTr="00EC4DAA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A0AF4" w:rsidP="00FA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385" w:type="dxa"/>
            <w:vAlign w:val="center"/>
          </w:tcPr>
          <w:p w:rsidR="005A0AF4" w:rsidRPr="00BF0CDD" w:rsidRDefault="005A0AF4" w:rsidP="00FA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Наименование доклада</w:t>
            </w:r>
          </w:p>
        </w:tc>
        <w:tc>
          <w:tcPr>
            <w:tcW w:w="1836" w:type="dxa"/>
            <w:vAlign w:val="center"/>
          </w:tcPr>
          <w:p w:rsidR="005A0AF4" w:rsidRPr="00BF0CDD" w:rsidRDefault="005A0AF4" w:rsidP="00FA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A0AF4" w:rsidRPr="00BF0CDD" w:rsidTr="00EC4DAA">
        <w:trPr>
          <w:jc w:val="center"/>
        </w:trPr>
        <w:tc>
          <w:tcPr>
            <w:tcW w:w="974" w:type="dxa"/>
            <w:vAlign w:val="center"/>
          </w:tcPr>
          <w:p w:rsidR="005A0AF4" w:rsidRPr="00BF0CDD" w:rsidRDefault="005C7390" w:rsidP="005C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A0AF4"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A0AF4" w:rsidRPr="00BF0CD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5A0AF4"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A0AF4" w:rsidRPr="00BF0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5" w:type="dxa"/>
            <w:vAlign w:val="center"/>
          </w:tcPr>
          <w:p w:rsidR="005A0AF4" w:rsidRPr="00BF0CDD" w:rsidRDefault="005A0AF4" w:rsidP="0068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Сбор на 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ул.Тимирязева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, д.20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6" w:type="dxa"/>
            <w:vAlign w:val="center"/>
          </w:tcPr>
          <w:p w:rsidR="005A0AF4" w:rsidRPr="00BF0CDD" w:rsidRDefault="005A0AF4" w:rsidP="00FA2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68272C" w:rsidRPr="00BF0CDD" w:rsidTr="00EC4DAA">
        <w:trPr>
          <w:jc w:val="center"/>
        </w:trPr>
        <w:tc>
          <w:tcPr>
            <w:tcW w:w="974" w:type="dxa"/>
            <w:vAlign w:val="center"/>
          </w:tcPr>
          <w:p w:rsidR="0068272C" w:rsidRPr="00BF0CDD" w:rsidRDefault="0068272C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5-10.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5" w:type="dxa"/>
            <w:vAlign w:val="center"/>
          </w:tcPr>
          <w:p w:rsidR="0068272C" w:rsidRPr="00BF0CDD" w:rsidRDefault="0068272C" w:rsidP="0068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Поездка в Музей нефти «Шугурово»</w:t>
            </w:r>
          </w:p>
        </w:tc>
        <w:tc>
          <w:tcPr>
            <w:tcW w:w="1836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68272C" w:rsidRPr="00BF0CDD" w:rsidTr="00EC4DAA">
        <w:trPr>
          <w:jc w:val="center"/>
        </w:trPr>
        <w:tc>
          <w:tcPr>
            <w:tcW w:w="974" w:type="dxa"/>
            <w:vAlign w:val="center"/>
          </w:tcPr>
          <w:p w:rsidR="0068272C" w:rsidRPr="00BF0CDD" w:rsidRDefault="0068272C" w:rsidP="0099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94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85" w:type="dxa"/>
            <w:vAlign w:val="center"/>
          </w:tcPr>
          <w:p w:rsidR="0068272C" w:rsidRPr="00BF0CDD" w:rsidRDefault="004410A2" w:rsidP="0044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музею</w:t>
            </w:r>
          </w:p>
        </w:tc>
        <w:tc>
          <w:tcPr>
            <w:tcW w:w="1836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68272C" w:rsidRPr="00BF0CDD" w:rsidTr="00EC4DAA">
        <w:trPr>
          <w:jc w:val="center"/>
        </w:trPr>
        <w:tc>
          <w:tcPr>
            <w:tcW w:w="974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BF0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0-13.30</w:t>
            </w:r>
          </w:p>
        </w:tc>
        <w:tc>
          <w:tcPr>
            <w:tcW w:w="7385" w:type="dxa"/>
            <w:vAlign w:val="center"/>
          </w:tcPr>
          <w:p w:rsidR="0068272C" w:rsidRPr="00BF0CDD" w:rsidRDefault="0068272C" w:rsidP="0068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Поездка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Глэмпинг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6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68272C" w:rsidRPr="00BF0CDD" w:rsidTr="00EC4DAA">
        <w:trPr>
          <w:jc w:val="center"/>
        </w:trPr>
        <w:tc>
          <w:tcPr>
            <w:tcW w:w="974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13.30-15.30</w:t>
            </w:r>
          </w:p>
        </w:tc>
        <w:tc>
          <w:tcPr>
            <w:tcW w:w="7385" w:type="dxa"/>
            <w:vAlign w:val="center"/>
          </w:tcPr>
          <w:p w:rsidR="0068272C" w:rsidRPr="00BF0CDD" w:rsidRDefault="0068272C" w:rsidP="0068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Обед в «</w:t>
            </w:r>
            <w:proofErr w:type="spellStart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Глэмпинг</w:t>
            </w:r>
            <w:proofErr w:type="spellEnd"/>
            <w:r w:rsidRPr="00BF0CDD">
              <w:rPr>
                <w:rFonts w:ascii="Times New Roman" w:hAnsi="Times New Roman" w:cs="Times New Roman"/>
                <w:sz w:val="28"/>
                <w:szCs w:val="28"/>
              </w:rPr>
              <w:t xml:space="preserve">» от шеф-повара ресторана «Сакура» </w:t>
            </w:r>
          </w:p>
        </w:tc>
        <w:tc>
          <w:tcPr>
            <w:tcW w:w="1836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  <w:tr w:rsidR="0068272C" w:rsidRPr="00BF0CDD" w:rsidTr="00EC4DAA">
        <w:trPr>
          <w:jc w:val="center"/>
        </w:trPr>
        <w:tc>
          <w:tcPr>
            <w:tcW w:w="974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7385" w:type="dxa"/>
            <w:vAlign w:val="center"/>
          </w:tcPr>
          <w:p w:rsidR="0068272C" w:rsidRPr="00BF0CDD" w:rsidRDefault="0068272C" w:rsidP="0068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Возвращение в город</w:t>
            </w:r>
          </w:p>
        </w:tc>
        <w:tc>
          <w:tcPr>
            <w:tcW w:w="1836" w:type="dxa"/>
            <w:vAlign w:val="center"/>
          </w:tcPr>
          <w:p w:rsidR="0068272C" w:rsidRPr="00BF0CDD" w:rsidRDefault="0068272C" w:rsidP="00682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CDD">
              <w:rPr>
                <w:rFonts w:ascii="Times New Roman" w:hAnsi="Times New Roman" w:cs="Times New Roman"/>
                <w:sz w:val="28"/>
                <w:szCs w:val="28"/>
              </w:rPr>
              <w:t>Исаев А.А.</w:t>
            </w:r>
          </w:p>
        </w:tc>
      </w:tr>
    </w:tbl>
    <w:p w:rsidR="00994E02" w:rsidRDefault="00994E02" w:rsidP="001A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91" w:rsidRPr="005A0AF4" w:rsidRDefault="001A329B" w:rsidP="00F95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DD">
        <w:rPr>
          <w:rFonts w:ascii="Times New Roman" w:hAnsi="Times New Roman" w:cs="Times New Roman"/>
          <w:sz w:val="28"/>
          <w:szCs w:val="28"/>
        </w:rPr>
        <w:t>Могут быть изменения по докладам и докладчикам (болезнь докладчика, невозможность выступления по производственным причинам).</w:t>
      </w:r>
    </w:p>
    <w:sectPr w:rsidR="00617091" w:rsidRPr="005A0AF4" w:rsidSect="004954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44F"/>
    <w:multiLevelType w:val="multilevel"/>
    <w:tmpl w:val="DABC1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AC0F4C"/>
    <w:multiLevelType w:val="multilevel"/>
    <w:tmpl w:val="BCC8E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2C7254"/>
    <w:multiLevelType w:val="multilevel"/>
    <w:tmpl w:val="7E44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003872"/>
    <w:multiLevelType w:val="multilevel"/>
    <w:tmpl w:val="722EB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DF2993"/>
    <w:multiLevelType w:val="multilevel"/>
    <w:tmpl w:val="4A54C8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2331F1"/>
    <w:multiLevelType w:val="hybridMultilevel"/>
    <w:tmpl w:val="BBCE70BC"/>
    <w:lvl w:ilvl="0" w:tplc="38B0211C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3D7571BA"/>
    <w:multiLevelType w:val="multilevel"/>
    <w:tmpl w:val="9AE48E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4B81B25"/>
    <w:multiLevelType w:val="multilevel"/>
    <w:tmpl w:val="354A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84684"/>
    <w:multiLevelType w:val="multilevel"/>
    <w:tmpl w:val="41223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6CC1712D"/>
    <w:multiLevelType w:val="multilevel"/>
    <w:tmpl w:val="946A3364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6" w:hanging="2160"/>
      </w:pPr>
      <w:rPr>
        <w:rFonts w:hint="default"/>
      </w:rPr>
    </w:lvl>
  </w:abstractNum>
  <w:abstractNum w:abstractNumId="10" w15:restartNumberingAfterBreak="0">
    <w:nsid w:val="73C40341"/>
    <w:multiLevelType w:val="multilevel"/>
    <w:tmpl w:val="E5F8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CC"/>
    <w:rsid w:val="00017C39"/>
    <w:rsid w:val="00022686"/>
    <w:rsid w:val="000533B8"/>
    <w:rsid w:val="000A3971"/>
    <w:rsid w:val="000A6890"/>
    <w:rsid w:val="00117781"/>
    <w:rsid w:val="00135677"/>
    <w:rsid w:val="00150A6D"/>
    <w:rsid w:val="0017275B"/>
    <w:rsid w:val="00176F66"/>
    <w:rsid w:val="001938A5"/>
    <w:rsid w:val="001A329B"/>
    <w:rsid w:val="001C6F56"/>
    <w:rsid w:val="001D08AB"/>
    <w:rsid w:val="001D5344"/>
    <w:rsid w:val="001D5522"/>
    <w:rsid w:val="001F040A"/>
    <w:rsid w:val="002117C3"/>
    <w:rsid w:val="00217BFA"/>
    <w:rsid w:val="00255D65"/>
    <w:rsid w:val="00260B48"/>
    <w:rsid w:val="002B7E29"/>
    <w:rsid w:val="002E61EB"/>
    <w:rsid w:val="0036493C"/>
    <w:rsid w:val="00365339"/>
    <w:rsid w:val="003834C4"/>
    <w:rsid w:val="003975A7"/>
    <w:rsid w:val="003C17F9"/>
    <w:rsid w:val="003D696C"/>
    <w:rsid w:val="003F46AD"/>
    <w:rsid w:val="00403F0E"/>
    <w:rsid w:val="00406F5B"/>
    <w:rsid w:val="004157FA"/>
    <w:rsid w:val="00437998"/>
    <w:rsid w:val="004410A2"/>
    <w:rsid w:val="00450F58"/>
    <w:rsid w:val="0047036E"/>
    <w:rsid w:val="00474B6B"/>
    <w:rsid w:val="00494D87"/>
    <w:rsid w:val="00495466"/>
    <w:rsid w:val="00534F4C"/>
    <w:rsid w:val="00583BE6"/>
    <w:rsid w:val="00595E25"/>
    <w:rsid w:val="005A0AF4"/>
    <w:rsid w:val="005A4FB4"/>
    <w:rsid w:val="005C7390"/>
    <w:rsid w:val="00617091"/>
    <w:rsid w:val="00652A94"/>
    <w:rsid w:val="0068272C"/>
    <w:rsid w:val="00735EDC"/>
    <w:rsid w:val="00762B25"/>
    <w:rsid w:val="00780B96"/>
    <w:rsid w:val="0079401F"/>
    <w:rsid w:val="007C32AD"/>
    <w:rsid w:val="007D13C5"/>
    <w:rsid w:val="00824DE4"/>
    <w:rsid w:val="00831441"/>
    <w:rsid w:val="00834D8C"/>
    <w:rsid w:val="00850F9D"/>
    <w:rsid w:val="0086704D"/>
    <w:rsid w:val="00894ADB"/>
    <w:rsid w:val="00895B72"/>
    <w:rsid w:val="008A18CC"/>
    <w:rsid w:val="008A1A40"/>
    <w:rsid w:val="008C7D9A"/>
    <w:rsid w:val="008D1D5B"/>
    <w:rsid w:val="008D41D7"/>
    <w:rsid w:val="008D6EFE"/>
    <w:rsid w:val="008E5D0D"/>
    <w:rsid w:val="00931CF8"/>
    <w:rsid w:val="00951578"/>
    <w:rsid w:val="009565DC"/>
    <w:rsid w:val="00962C24"/>
    <w:rsid w:val="0097372B"/>
    <w:rsid w:val="00974AC6"/>
    <w:rsid w:val="00975BC4"/>
    <w:rsid w:val="00994E02"/>
    <w:rsid w:val="009A040A"/>
    <w:rsid w:val="009E0257"/>
    <w:rsid w:val="009E3F3E"/>
    <w:rsid w:val="009F2209"/>
    <w:rsid w:val="00A91E70"/>
    <w:rsid w:val="00AA1E61"/>
    <w:rsid w:val="00AF47DD"/>
    <w:rsid w:val="00B11234"/>
    <w:rsid w:val="00B37F7A"/>
    <w:rsid w:val="00B753C7"/>
    <w:rsid w:val="00B775B3"/>
    <w:rsid w:val="00BF0CDD"/>
    <w:rsid w:val="00C500A9"/>
    <w:rsid w:val="00CB0D79"/>
    <w:rsid w:val="00CE1CF3"/>
    <w:rsid w:val="00CE49DD"/>
    <w:rsid w:val="00D07A69"/>
    <w:rsid w:val="00D1366B"/>
    <w:rsid w:val="00D30517"/>
    <w:rsid w:val="00D42F16"/>
    <w:rsid w:val="00D436ED"/>
    <w:rsid w:val="00D467E1"/>
    <w:rsid w:val="00D80C91"/>
    <w:rsid w:val="00DB10D5"/>
    <w:rsid w:val="00DC320D"/>
    <w:rsid w:val="00E0722D"/>
    <w:rsid w:val="00E6279B"/>
    <w:rsid w:val="00E71EFA"/>
    <w:rsid w:val="00E73479"/>
    <w:rsid w:val="00E837D6"/>
    <w:rsid w:val="00E92260"/>
    <w:rsid w:val="00EA5169"/>
    <w:rsid w:val="00EB1BB7"/>
    <w:rsid w:val="00EC4DAA"/>
    <w:rsid w:val="00EC562F"/>
    <w:rsid w:val="00F346FE"/>
    <w:rsid w:val="00F662AA"/>
    <w:rsid w:val="00F731CF"/>
    <w:rsid w:val="00F9579F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1CC3"/>
  <w15:chartTrackingRefBased/>
  <w15:docId w15:val="{B28A5B1E-D144-4B93-8BA3-F2C31EF6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A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A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8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975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75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75A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39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75A7"/>
    <w:rPr>
      <w:color w:val="0000FF"/>
      <w:u w:val="single"/>
    </w:rPr>
  </w:style>
  <w:style w:type="character" w:customStyle="1" w:styleId="keywordstitle">
    <w:name w:val="keywords_title"/>
    <w:basedOn w:val="a0"/>
    <w:rsid w:val="00D80C91"/>
  </w:style>
  <w:style w:type="paragraph" w:styleId="a6">
    <w:name w:val="Balloon Text"/>
    <w:basedOn w:val="a"/>
    <w:link w:val="a7"/>
    <w:uiPriority w:val="99"/>
    <w:semiHidden/>
    <w:unhideWhenUsed/>
    <w:rsid w:val="00D4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4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CC88-87CC-4658-A9EC-58A6B9AB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Анатолий Андреевич</dc:creator>
  <cp:keywords/>
  <dc:description/>
  <cp:lastModifiedBy>Исаев Анатолий Андреевич</cp:lastModifiedBy>
  <cp:revision>4</cp:revision>
  <cp:lastPrinted>2024-04-23T04:34:00Z</cp:lastPrinted>
  <dcterms:created xsi:type="dcterms:W3CDTF">2024-05-14T06:11:00Z</dcterms:created>
  <dcterms:modified xsi:type="dcterms:W3CDTF">2024-05-28T13:32:00Z</dcterms:modified>
</cp:coreProperties>
</file>